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2B3C" w:sz="12"/>
        </w:pBdr>
        <w:spacing w:after="180" w:before="200"/>
        <w:jc w:val="center"/>
      </w:pPr>
      <w:r>
        <w:rPr>
          <w:rFonts w:ascii="맑은 고딕" w:cs="맑은 고딕" w:eastAsia="맑은 고딕" w:hAnsi="맑은 고딕"/>
          <w:b/>
          <w:bCs/>
          <w:color w:val="1A2B3C"/>
          <w:sz w:val="32"/>
          <w:szCs w:val="32"/>
        </w:rPr>
        <w:t xml:space="preserve">고용 형태 분류 자가 체크리스트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Employee vs. Independent Contractor Self-Assessment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IRS 3요소 테스트 · California ABC 테스트 · HAVEN RIGHTS</w:t>
      </w:r>
    </w:p>
    <w:p>
      <w:pPr>
        <w:spacing w:after="100"/>
      </w:pP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"1099 계약직"으로 분류되어 있지만 실질적으로는 정직원(W-2)에 해당하는지 스스로 진단하는 체크리스트. 미분류(misclassification)는 중대한 노동법 위반이며, 재분류 시 최저임금·초과근무·실업급여·산재보상 등을 소급 청구할 수 있습니다.</w:t>
      </w:r>
    </w:p>
    <w:p>
      <w:pPr>
        <w:pageBreakBefore/>
      </w:pPr>
      <w:r>
        <w:br/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PART A. IRS 3요소 테스트 / IRS Three-Factor Test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각 문항에 "예(Y) / 아니오(N)" 체크. Y가 많을수록 정직원(Employee) 가능성이 높습니다. / Check Y/N for each item. More Y's = more likely an employee.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A-1. 행동 통제 / Behavioral Control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회사가 구체적 업무 지시를 내리는가? / Does the company give specific instructions?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출퇴근 시간을 회사가 정하는가? / Does the company set your work hours?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업무 순서·방식·절차를 회사가 지정하는가? / Does the company dictate the sequence of work?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회사가 일할 장소를 지정하는가? / Does the company specify where you work?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회사가 교육·훈련을 제공하는가? / Does the company provide training?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업무 평가를 회사가 수행하는가? / Does the company evaluate performance?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회사의 장비·도구를 사용하는가? / Do you use company-provided tools?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A-1 Y 개수 / Y-count: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A-2. 재정 통제 / Financial Control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회사가 근로자 경비를 환급해주는가? / Does the company reimburse expenses?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회사가 장비·재료를 제공하는가? / Does the company supply equipment?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다른 회사에 동시 서비스 제공이 금지되는가? / Are you barred from other clients?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정해진 임금·급여(시급·주급·월급)를 받는가? / Paid fixed wages/salary (not per project)?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손익을 본인이 부담하지 않는가? / Do you NOT bear business profit/loss?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본인의 서비스를 공개 시장에 광고하지 않는가? / Do you NOT advertise your services?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A-2 Y 개수 / Y-count: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A-3. 관계의 성격 / Type of Relationship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정규직/상시직 형태로 근무하는가? / Ongoing, regular employment?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서면 계약서가 없거나 회사에 유리한 일방적 약관인가? / No contract or one-sided contract?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회사가 해고할 권한을 가지는가? / Can the company fire you at will?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업무가 회사의 핵심 사업에 필수적인가? / Is the work central to the company's business?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유급 휴가·건강보험·연금 등 복지를 받거나 받을 수 있는가? / Eligible for employee benefits?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/ N — 장기간(6개월 이상) 동일 회사에서 일하는가? / Working 6+ months for same company?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A-3 Y 개수 / Y-count: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IRS 테스트 종합 결과 / IRS Total:
— 14~19개 Y: 매우 높은 확률로 정직원(W-2) 해당 / Very likely employee
— 9~13개: 정직원 가능성 높음 (재분류 검토) / Likely employee — review for reclassification
— 4~8개: 혼합형 — 변호사 자문 필요 / Mixed — consult attorney
— 0~3개: 독립 계약자 가능성 높음 / Likely independent contractor</w:t>
      </w:r>
    </w:p>
    <w:p>
      <w:pPr>
        <w:pageBreakBefore/>
      </w:pPr>
      <w:r>
        <w:br/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PART B. California ABC 테스트 / California ABC Test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캘리포니아에서 일하는 경우, "독립 계약자"로 인정받으려면 고용주가 A·B·C 세 조건을 모두 입증해야 합니다. 하나라도 N이면 법적으로 정직원입니다. (Dynamex 2018 / AB5 2019)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In California, an employer must prove ALL THREE (A, B, C) for a worker to be an independent contractor. Any single N = legally an employee.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A. 통제로부터의 자유 / Free from Control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"근로자가 업무 수행과 관련해 고용주의 통제·지시로부터 계약상 그리고 실질적으로 자유로운가?"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(통제 없음 = 독립계약자 방향)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 (통제 있음 = 정직원 방향)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판단 기준: 회사가 근무 시간·장소·방식을 지시하면 → N / 성과물만 요구하고 방식은 자유면 → Y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B. 회사의 일반 사업 범위 밖 / Outside Usual Course of Business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"해당 업무가 고용주의 일반적인 사업 범위 바깥에서 수행되는가?"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(범위 밖 = 독립계약자 방향)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 (범위 내 = 정직원 방향)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예시: 식당 서빙 → 식당 업무의 "핵심" → N / 식당의 웹사이트 제작 → "외부" → Y / 네일샵 네일 서비스 → "핵심" → N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C. 독립 사업 종사 / Independent Trade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"근로자가 해당 업무와 같은 성격의 독립적 직종·사업·전문성에 통상적으로 종사하는가?"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 (독립 사업체 운영 = 독립계약자 방향)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 (단일 회사 의존 = 정직원 방향)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판단 기준: 사업자등록(DBA·LLC)·명함·세금신고가 있는가? 여러 고객에게 동종 서비스를 제공하는가? 본인의 도구·보험을 가지고 있는가?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A 결과 / A result: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B 결과 / B result: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C 결과 / C result: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모두 Y → 독립계약자 인정 가능 / 하나라도 N → 법적으로 정직원 → 정직원 권리 청구 가능</w:t>
      </w:r>
    </w:p>
    <w:p>
      <w:pPr>
        <w:pageBreakBefore/>
      </w:pPr>
      <w:r>
        <w:br/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PART C. 미분류 발견 시 대응 절차 / If You Find Misclassification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1. 증거 수집: 계약서, 이메일, 업무 지시 기록, 급여 수령 내역(1099), 근무 시간 기록, 동료 증언 / Collect evidence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2. IRS Form SS-8 제출 (선택) — IRS가 공식 판단 / Optional IRS SS-8 determination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3. DOL 임금시간국 신고 (초과근무·최저임금) — 1-866-487-9243 / File with DOL WHD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4. 주 노동청 신고 (CA DLSE, NY DOL, TX TWC 등) / File with state labor agency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5. 민사 소송 고려 (변호사 비용은 FLSA § 216(b)에 따라 피고 부담) / Consider civil suit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6. 세금 환급 (IRS Form 8919 — 고용주 부담분 환급) / Tax refund via Form 8919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한인 자주 발생 사례 / Common Korean Community Cases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네일샵 아티스트 "booth rental" 1099 → 대부분 N (매장이 가격·예약·시간 통제)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한식당 서버 "팁만 받는 계약직" → 거의 항상 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한인 미용실 스태프 "1099" → 대부분 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한인 건설 일용직 "캐시로만 지급" → 조건에 따라 상이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한인 교회 찬양팀 유급 연주자 → 사역·세션 구분에 따라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주요 연락처 / Key Contacts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IRS Misclassification Hotline: 1-800-829-4933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DOL Wage &amp; Hour Division: 1-866-487-9243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CA Labor Commissioner: 1-833-526-4636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NY DOL: 1-888-469-7365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TX Workforce Commission: 1-800-832-9243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GA Department of Labor: 1-404-232-3001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HAVEN RIGHTS: 1-800-HAVEN-US  |  help@havenrights.org</w:t>
      </w:r>
    </w:p>
    <w:p>
      <w:pPr>
        <w:spacing w:after="100"/>
      </w:pP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© HAVEN RIGHTS — 본 체크리스트는 법률 자문을 대체하지 않습니다.</w:t>
      </w:r>
    </w:p>
    <w:sectPr>
      <w:pgSz w:w="11906" w:h="16838" w:orient="portrait"/>
      <w:pgMar w:top="1152" w:right="1296" w:bottom="1152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 RIGHTS Legal Form</dc:title>
  <dc:creator>HAVEN RIGHTS</dc:creator>
  <dc:description>미주 한인 노동권익 법률 서식</dc:description>
  <cp:lastModifiedBy>Un-named</cp:lastModifiedBy>
  <cp:revision>1</cp:revision>
  <dcterms:created xsi:type="dcterms:W3CDTF">2026-04-17T09:54:01.314Z</dcterms:created>
  <dcterms:modified xsi:type="dcterms:W3CDTF">2026-04-17T09:54:01.314Z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