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5단계 · 합의서 검토 체크리스트</w:t>
      </w:r>
    </w:p>
    <w:p>
      <w:pPr>
        <w:pStyle w:val="Subtitle"/>
      </w:pPr>
      <w:r>
        <w:rPr>
          <w:i/>
          <w:iCs/>
        </w:rPr>
        <w:t xml:space="preserve">Settlement Review Checklist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왜 이 체크리스트가 중요한가요? / Why this matters</w:t>
            </w:r>
          </w:p>
          <w:p>
            <w:pPr>
              <w:pStyle w:val="ListParagraph"/>
              <w:numPr>
                <w:ilvl w:val="0"/>
                <w:numId w:val="2"/>
              </w:numPr>
            </w:pPr>
            <w:r>
              <w:t xml:space="preserve">회사가 ‘합의(Settlement)’ 또는 ‘Severance Agreement’를 제시하면, 보통 ‘권리포기(release/waiver)’ 조항이 포함됩니다. 한 번 서명하면 임금·차별·보복 등 거의 모든 청구를 영구히 포기하게 됩니다.</w:t>
            </w:r>
          </w:p>
          <w:p>
            <w:pPr>
              <w:pStyle w:val="ListParagraph"/>
              <w:numPr>
                <w:ilvl w:val="0"/>
                <w:numId w:val="2"/>
              </w:numPr>
            </w:pPr>
            <w:r>
              <w:t xml:space="preserve">서명 전에 반드시 24시간(가능하면 7~21일) 시간을 두고 검토하십시오. 일부 법은 검토·철회 기간을 의무화합니다.</w:t>
            </w:r>
          </w:p>
          <w:p>
            <w:pPr>
              <w:pStyle w:val="ListParagraph"/>
              <w:numPr>
                <w:ilvl w:val="0"/>
                <w:numId w:val="2"/>
              </w:numPr>
            </w:pPr>
            <w:r>
              <w:t xml:space="preserve">OWBPA(Older Workers Benefit Protection Act): 40세 이상이 ADEA 청구를 포기할 때 검토 21일 + 철회 7일(집단 정리해고는 45일) 의무.</w:t>
            </w:r>
          </w:p>
          <w:p>
            <w:pPr>
              <w:pStyle w:val="ListParagraph"/>
              <w:numPr>
                <w:ilvl w:val="0"/>
                <w:numId w:val="2"/>
              </w:numPr>
            </w:pPr>
            <w:r>
              <w:t xml:space="preserve">FLSA·NYLL 등 일부 임금 청구는 ‘법원 또는 USDOL 승인 없이는 사인 합의로 포기 불가’ — 변호사 검토 권장.</w:t>
            </w:r>
          </w:p>
          <w:p>
            <w:pPr>
              <w:pStyle w:val="ListParagraph"/>
              <w:numPr>
                <w:ilvl w:val="0"/>
                <w:numId w:val="2"/>
              </w:numPr>
            </w:pPr>
            <w:r>
              <w:t xml:space="preserve">현재 EEOC가 받아들이는 합의서에 대해 EEOC 신고권을 일방적으로 포기시킬 수 없으며(부분 무효), NDA·비방금지·차별 사실 비공개 조항도 일부 주(CA Silenced No More Act, NY GOL § 5-336)에 의해 무효화될 수 있습니다.</w:t>
            </w:r>
          </w:p>
        </w:tc>
      </w:tr>
    </w:tbl>
    <w:p>
      <w:r>
        <w:t xml:space="preserve"/>
      </w:r>
    </w:p>
    <w:p>
      <w:pPr>
        <w:pStyle w:val="Heading1"/>
      </w:pPr>
      <w:r>
        <w:rPr>
          <w:b/>
          <w:bCs/>
        </w:rPr>
        <w:t xml:space="preserve">0. 합의서 기본 정보 / Document Identification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합의서 제목 / Title of agreement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 Employer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나(노동자) / Employee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수령일 / Date received</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측 검토 마감 / Deadline given by employer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서명 예정일 / My target signing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내 변호사·검토자 / Reviewer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pPr>
        <w:pStyle w:val="Heading1"/>
      </w:pPr>
      <w:r>
        <w:rPr>
          <w:b/>
          <w:bCs/>
        </w:rPr>
        <w:t xml:space="preserve">1. 금액(Consideration) / Money terms</w:t>
      </w:r>
    </w:p>
    <w:p>
      <w:pPr>
        <w:pStyle w:val="ListParagraph"/>
        <w:numPr>
          <w:ilvl w:val="0"/>
          <w:numId w:val="3"/>
        </w:numPr>
      </w:pPr>
      <w:r>
        <w:t xml:space="preserve">총 합의금이 미지급 임금·연장근로수당·waiting time penalty·휴가비·법정 가산금(liquidated damages) 등 ‘내가 청구할 수 있는 모든 항목’을 합한 금액과 비교했을 때 합리적인가?</w:t>
      </w:r>
    </w:p>
    <w:p>
      <w:pPr>
        <w:pStyle w:val="ListParagraph"/>
        <w:numPr>
          <w:ilvl w:val="0"/>
          <w:numId w:val="3"/>
        </w:numPr>
      </w:pPr>
      <w:r>
        <w:t xml:space="preserve">일시불(lump-sum) vs. 분할 지급(installments) — 분할 시 회사 미이행에 대한 ‘디폴트(default)’ 조항 명확한가?</w:t>
      </w:r>
    </w:p>
    <w:p>
      <w:pPr>
        <w:pStyle w:val="ListParagraph"/>
        <w:numPr>
          <w:ilvl w:val="0"/>
          <w:numId w:val="3"/>
        </w:numPr>
      </w:pPr>
      <w:r>
        <w:t xml:space="preserve">지급 기한이 명시되어 있는가? (예: 서명 후 14일 이내)</w:t>
      </w:r>
    </w:p>
    <w:p>
      <w:pPr>
        <w:pStyle w:val="ListParagraph"/>
        <w:numPr>
          <w:ilvl w:val="0"/>
          <w:numId w:val="3"/>
        </w:numPr>
      </w:pPr>
      <w:r>
        <w:t xml:space="preserve">지급 방법(수표/계좌이체/PayPal 등)이 명확한가?</w:t>
      </w:r>
    </w:p>
    <w:p>
      <w:pPr>
        <w:pStyle w:val="ListParagraph"/>
        <w:numPr>
          <w:ilvl w:val="0"/>
          <w:numId w:val="3"/>
        </w:numPr>
      </w:pPr>
      <w:r>
        <w:t xml:space="preserve">‘추가로 청구할 수 있는 권리’를 포기하는 대가가 합당한가? (단순 미지급 임금만 받는 ‘제로섬 합의’는 ‘진정한 화해(bona fide compromise)’가 아닐 수 있음)</w:t>
      </w:r>
    </w:p>
    <w:p>
      <w:pPr>
        <w:pStyle w:val="Heading1"/>
      </w:pPr>
      <w:r>
        <w:rPr>
          <w:b/>
          <w:bCs/>
        </w:rPr>
        <w:t xml:space="preserve">2. 세무 처리 / Tax treatment</w:t>
      </w:r>
    </w:p>
    <w:p>
      <w:pPr>
        <w:pStyle w:val="ListParagraph"/>
        <w:numPr>
          <w:ilvl w:val="0"/>
          <w:numId w:val="3"/>
        </w:numPr>
      </w:pPr>
      <w:r>
        <w:t xml:space="preserve">임금(Wage) 부분: W-2 발행, 원천징수(소득세·SS·Medicare) 적용 — 임금에 해당하는 금액은 ‘W-2’에 들어가야 함.</w:t>
      </w:r>
    </w:p>
    <w:p>
      <w:pPr>
        <w:pStyle w:val="ListParagraph"/>
        <w:numPr>
          <w:ilvl w:val="0"/>
          <w:numId w:val="3"/>
        </w:numPr>
      </w:pPr>
      <w:r>
        <w:t xml:space="preserve">비임금(Non-wage; 정신적 손해·이자·변호사비·penalty) 부분: 1099-MISC 또는 1099-NEC.</w:t>
      </w:r>
    </w:p>
    <w:p>
      <w:pPr>
        <w:pStyle w:val="ListParagraph"/>
        <w:numPr>
          <w:ilvl w:val="0"/>
          <w:numId w:val="3"/>
        </w:numPr>
      </w:pPr>
      <w:r>
        <w:t xml:space="preserve">‘1099로 전부 처리’ 시 자기 자영업세(15.3%) 부담이 본인에게 전가됨 — 임금 부분은 W-2가 표준.</w:t>
      </w:r>
    </w:p>
    <w:p>
      <w:pPr>
        <w:pStyle w:val="ListParagraph"/>
        <w:numPr>
          <w:ilvl w:val="0"/>
          <w:numId w:val="3"/>
        </w:numPr>
      </w:pPr>
      <w:r>
        <w:t xml:space="preserve">실제 IRC § 104(a)(2) ‘personal physical injury’에 해당해 비과세인지 확인 (단순 임금·감정적 고통은 과세).</w:t>
      </w:r>
    </w:p>
    <w:p>
      <w:pPr>
        <w:pStyle w:val="ListParagraph"/>
        <w:numPr>
          <w:ilvl w:val="0"/>
          <w:numId w:val="3"/>
        </w:numPr>
      </w:pPr>
      <w:r>
        <w:t xml:space="preserve">회사가 변호사 보수를 직접 변호사에게 지급해도, 본인 1099-MISC에 잡혀 ‘파트너십 효과’가 발생할 수 있음 — Banks 판례(545 U.S. 426) 고려.</w:t>
      </w:r>
    </w:p>
    <w:p>
      <w:pPr>
        <w:pStyle w:val="ListParagraph"/>
        <w:numPr>
          <w:ilvl w:val="0"/>
          <w:numId w:val="3"/>
        </w:numPr>
      </w:pPr>
      <w:r>
        <w:t xml:space="preserve">주별 추가 원천징수 규정 확인 (예: CA EDD).</w:t>
      </w:r>
    </w:p>
    <w:p>
      <w:pPr>
        <w:pStyle w:val="Heading1"/>
      </w:pPr>
      <w:r>
        <w:rPr>
          <w:b/>
          <w:bCs/>
        </w:rPr>
        <w:t xml:space="preserve">3. 권리포기 범위(Release / Waiver) / Scope of release</w:t>
      </w:r>
    </w:p>
    <w:p>
      <w:pPr>
        <w:pStyle w:val="ListParagraph"/>
        <w:numPr>
          <w:ilvl w:val="0"/>
          <w:numId w:val="3"/>
        </w:numPr>
      </w:pPr>
      <w:r>
        <w:t xml:space="preserve">‘일반포기(General Release)’가 아닌 ‘이번 사건 한정 포기(Limited Release)’로 협상 가능 여부 검토.</w:t>
      </w:r>
    </w:p>
    <w:p>
      <w:pPr>
        <w:pStyle w:val="ListParagraph"/>
        <w:numPr>
          <w:ilvl w:val="0"/>
          <w:numId w:val="3"/>
        </w:numPr>
      </w:pPr>
      <w:r>
        <w:t xml:space="preserve">포기 대상 법률이 구체적으로 열거되었는가? (FLSA·Title VII·ADA·ADEA·FMLA·NYLL 등)</w:t>
      </w:r>
    </w:p>
    <w:p>
      <w:pPr>
        <w:pStyle w:val="ListParagraph"/>
        <w:numPr>
          <w:ilvl w:val="0"/>
          <w:numId w:val="3"/>
        </w:numPr>
      </w:pPr>
      <w:r>
        <w:t xml:space="preserve">‘unknown claims(아직 알지 못하는 청구)’ 포기가 포함되어 있는가? (CA Civil Code § 1542 명시 포기를 요구할 수 있음)</w:t>
      </w:r>
    </w:p>
    <w:p>
      <w:pPr>
        <w:pStyle w:val="ListParagraph"/>
        <w:numPr>
          <w:ilvl w:val="0"/>
          <w:numId w:val="3"/>
        </w:numPr>
      </w:pPr>
      <w:r>
        <w:t xml:space="preserve">포기 적용 시점 — ‘서명일 이전(through Effective Date)’에 한정되는가? 미래 청구는 포기되지 않아야 함.</w:t>
      </w:r>
    </w:p>
    <w:p>
      <w:pPr>
        <w:pStyle w:val="ListParagraph"/>
        <w:numPr>
          <w:ilvl w:val="0"/>
          <w:numId w:val="3"/>
        </w:numPr>
      </w:pPr>
      <w:r>
        <w:t xml:space="preserve">산재(workers’ comp), 실업급여, 401(k)·연금 적립금, COBRA, 미수령 무이자 임금 등 ‘포기할 수 없는 항목’이 보호되어 있는가?</w:t>
      </w:r>
    </w:p>
    <w:p>
      <w:pPr>
        <w:pStyle w:val="ListParagraph"/>
        <w:numPr>
          <w:ilvl w:val="0"/>
          <w:numId w:val="3"/>
        </w:numPr>
      </w:pPr>
      <w:r>
        <w:t xml:space="preserve">정부기관 신고권(EEOC·NLRB·SEC·OSHA·USDOL)은 명시적으로 보존되어야 함 (강제 포기는 무효 — EEOC v. Astra; SEC Rule 21F-17).</w:t>
      </w:r>
    </w:p>
    <w:p>
      <w:pPr>
        <w:pStyle w:val="ListParagraph"/>
        <w:numPr>
          <w:ilvl w:val="0"/>
          <w:numId w:val="3"/>
        </w:numPr>
      </w:pPr>
      <w:r>
        <w:t xml:space="preserve">ADEA 청구 포기 조건(OWBPA): 21일 검토 + 7일 철회 — 이 조건이 충족되지 않으면 ADEA 포기는 무효.</w:t>
      </w:r>
    </w:p>
    <w:p>
      <w:pPr>
        <w:pStyle w:val="ListParagraph"/>
        <w:numPr>
          <w:ilvl w:val="0"/>
          <w:numId w:val="3"/>
        </w:numPr>
      </w:pPr>
      <w:r>
        <w:t xml:space="preserve">미래 발생 가능 보복·차별·임금에 대한 권리는 포기되지 않음을 명문화.</w:t>
      </w:r>
    </w:p>
    <w:p>
      <w:pPr>
        <w:pStyle w:val="Heading1"/>
      </w:pPr>
      <w:r>
        <w:rPr>
          <w:b/>
          <w:bCs/>
        </w:rPr>
        <w:t xml:space="preserve">4. 비밀유지(Confidentiality / NDA) 및 비방금지(Non-Disparagement)</w:t>
      </w:r>
    </w:p>
    <w:p>
      <w:pPr>
        <w:pStyle w:val="ListParagraph"/>
        <w:numPr>
          <w:ilvl w:val="0"/>
          <w:numId w:val="3"/>
        </w:numPr>
      </w:pPr>
      <w:r>
        <w:t xml:space="preserve">회사·임원·동료에 대한 ‘비방 금지’가 양방향(mutual)인가?</w:t>
      </w:r>
    </w:p>
    <w:p>
      <w:pPr>
        <w:pStyle w:val="ListParagraph"/>
        <w:numPr>
          <w:ilvl w:val="0"/>
          <w:numId w:val="3"/>
        </w:numPr>
      </w:pPr>
      <w:r>
        <w:t xml:space="preserve">성희롱·차별·보복 사실은 비공개 강제 불가 (CA Silenced No More Act, Cal. Code Civ. Proc. § 1001; NY GOL § 5-336; 연방 Speak Out Act 2022 — 사전 NDA에 한정).</w:t>
      </w:r>
    </w:p>
    <w:p>
      <w:pPr>
        <w:pStyle w:val="ListParagraph"/>
        <w:numPr>
          <w:ilvl w:val="0"/>
          <w:numId w:val="3"/>
        </w:numPr>
      </w:pPr>
      <w:r>
        <w:t xml:space="preserve">정부기관 협조·증언·신고는 비밀유지 의무에서 제외(carve-out)되어 있는가?</w:t>
      </w:r>
    </w:p>
    <w:p>
      <w:pPr>
        <w:pStyle w:val="ListParagraph"/>
        <w:numPr>
          <w:ilvl w:val="0"/>
          <w:numId w:val="3"/>
        </w:numPr>
      </w:pPr>
      <w:r>
        <w:t xml:space="preserve">배우자·세무사·변호사·치료사에 대한 사실 공개는 허용되는가?</w:t>
      </w:r>
    </w:p>
    <w:p>
      <w:pPr>
        <w:pStyle w:val="ListParagraph"/>
        <w:numPr>
          <w:ilvl w:val="0"/>
          <w:numId w:val="3"/>
        </w:numPr>
      </w:pPr>
      <w:r>
        <w:t xml:space="preserve">위반 시 ‘위약금(liquidated damages)’ 또는 ‘합의금 환수’ 조항이 과도한가? (위약금은 실손해와 비례해야 무효 위험 낮음)</w:t>
      </w:r>
    </w:p>
    <w:p>
      <w:pPr>
        <w:pStyle w:val="ListParagraph"/>
        <w:numPr>
          <w:ilvl w:val="0"/>
          <w:numId w:val="3"/>
        </w:numPr>
      </w:pPr>
      <w:r>
        <w:t xml:space="preserve">Defend Trade Secrets Act 18 U.S.C. § 1833(b) 면책 통지(immunity notice)가 포함되어 있는가? — 누락 시 영업비밀 침해 청구 시 회사가 punitive damages·attorneys’ fees 청구 불가.</w:t>
      </w:r>
    </w:p>
    <w:p>
      <w:pPr>
        <w:pStyle w:val="Heading1"/>
      </w:pPr>
      <w:r>
        <w:rPr>
          <w:b/>
          <w:bCs/>
        </w:rPr>
        <w:t xml:space="preserve">5. 비경쟁(Non-Compete)·비유인(Non-Solicitation)</w:t>
      </w:r>
    </w:p>
    <w:p>
      <w:pPr>
        <w:pStyle w:val="ListParagraph"/>
        <w:numPr>
          <w:ilvl w:val="0"/>
          <w:numId w:val="3"/>
        </w:numPr>
      </w:pPr>
      <w:r>
        <w:t xml:space="preserve">이미 채용계약상 비경쟁 조항이 있다면 그 효력 범위·기간이 합의서로 ‘완화 또는 해지’되는가?</w:t>
      </w:r>
    </w:p>
    <w:p>
      <w:pPr>
        <w:pStyle w:val="ListParagraph"/>
        <w:numPr>
          <w:ilvl w:val="0"/>
          <w:numId w:val="3"/>
        </w:numPr>
      </w:pPr>
      <w:r>
        <w:t xml:space="preserve">FTC 비경쟁 금지 규정(2024) 동향 및 주별 무효 규정 확인 — CA, MN, ND, OK는 임금근로자 비경쟁 거의 무효; NY는 입법 추진.</w:t>
      </w:r>
    </w:p>
    <w:p>
      <w:pPr>
        <w:pStyle w:val="ListParagraph"/>
        <w:numPr>
          <w:ilvl w:val="0"/>
          <w:numId w:val="3"/>
        </w:numPr>
      </w:pPr>
      <w:r>
        <w:t xml:space="preserve">비유인(non-solicitation)이 동료·고객 모두 포함되는가? 기간(보통 ≤ 1년)·지역·범위가 합리적인가?</w:t>
      </w:r>
    </w:p>
    <w:p>
      <w:pPr>
        <w:pStyle w:val="ListParagraph"/>
        <w:numPr>
          <w:ilvl w:val="0"/>
          <w:numId w:val="3"/>
        </w:numPr>
      </w:pPr>
      <w:r>
        <w:t xml:space="preserve">위반 시 합의금 환수 조항이 과도하지 않은가?</w:t>
      </w:r>
    </w:p>
    <w:p>
      <w:pPr>
        <w:pStyle w:val="Heading1"/>
      </w:pPr>
      <w:r>
        <w:rPr>
          <w:b/>
          <w:bCs/>
        </w:rPr>
        <w:t xml:space="preserve">6. 재취업 금지(No-Rehire) / 추천서 / Reference</w:t>
      </w:r>
    </w:p>
    <w:p>
      <w:pPr>
        <w:pStyle w:val="ListParagraph"/>
        <w:numPr>
          <w:ilvl w:val="0"/>
          <w:numId w:val="3"/>
        </w:numPr>
      </w:pPr>
      <w:r>
        <w:t xml:space="preserve">‘영구 재취업 금지(no-rehire)’가 회사·계열사·자회사 모두에 적용되는지 — 협상으로 회사 본사·법인 단위로 한정 가능.</w:t>
      </w:r>
    </w:p>
    <w:p>
      <w:pPr>
        <w:pStyle w:val="ListParagraph"/>
        <w:numPr>
          <w:ilvl w:val="0"/>
          <w:numId w:val="3"/>
        </w:numPr>
      </w:pPr>
      <w:r>
        <w:t xml:space="preserve">Reference 정책: ‘neutral reference(직책·재직기간·임금만 확인)’로 명문화.</w:t>
      </w:r>
    </w:p>
    <w:p>
      <w:pPr>
        <w:pStyle w:val="ListParagraph"/>
        <w:numPr>
          <w:ilvl w:val="0"/>
          <w:numId w:val="3"/>
        </w:numPr>
      </w:pPr>
      <w:r>
        <w:t xml:space="preserve">회사가 향후 부정적 reference를 줄 경우의 책임 명시.</w:t>
      </w:r>
    </w:p>
    <w:p>
      <w:pPr>
        <w:pStyle w:val="ListParagraph"/>
        <w:numPr>
          <w:ilvl w:val="0"/>
          <w:numId w:val="3"/>
        </w:numPr>
      </w:pPr>
      <w:r>
        <w:t xml:space="preserve">LinkedIn 경력 표시 가능 여부.</w:t>
      </w:r>
    </w:p>
    <w:p>
      <w:pPr>
        <w:pStyle w:val="Heading1"/>
      </w:pPr>
      <w:r>
        <w:rPr>
          <w:b/>
          <w:bCs/>
        </w:rPr>
        <w:t xml:space="preserve">7. 비자·이민(H-1B/L-1/O-1) 노동자 추가 사항</w:t>
      </w:r>
    </w:p>
    <w:p>
      <w:pPr>
        <w:pStyle w:val="ListParagraph"/>
        <w:numPr>
          <w:ilvl w:val="0"/>
          <w:numId w:val="3"/>
        </w:numPr>
      </w:pPr>
      <w:r>
        <w:t xml:space="preserve">H-1B 후원 변경(transfer) 시 회사가 ‘유효한 종료일(termination date)’을 USCIS에 제때 통지하도록 명문화 — 회사가 ‘bona fide termination’을 미통지하면 미지급 임금 책임 계속 (Amtel Group, ARB).</w:t>
      </w:r>
    </w:p>
    <w:p>
      <w:pPr>
        <w:pStyle w:val="ListParagraph"/>
        <w:numPr>
          <w:ilvl w:val="0"/>
          <w:numId w:val="3"/>
        </w:numPr>
      </w:pPr>
      <w:r>
        <w:t xml:space="preserve">60일 grace period(8 CFR § 214.1(l)) 동안 회사 이메일·자료 사용 가능 여부.</w:t>
      </w:r>
    </w:p>
    <w:p>
      <w:pPr>
        <w:pStyle w:val="ListParagraph"/>
        <w:numPr>
          <w:ilvl w:val="0"/>
          <w:numId w:val="3"/>
        </w:numPr>
      </w:pPr>
      <w:r>
        <w:t xml:space="preserve">귀국 항공료(reasonable cost of return transportation) — 8 CFR § 214.2(h)(4)(iii)(E) 의무.</w:t>
      </w:r>
    </w:p>
    <w:p>
      <w:pPr>
        <w:pStyle w:val="ListParagraph"/>
        <w:numPr>
          <w:ilvl w:val="0"/>
          <w:numId w:val="3"/>
        </w:numPr>
      </w:pPr>
      <w:r>
        <w:t xml:space="preserve">미지급 임금이 LCA 위반인 경우 INA § 212(n) 청구 권리 보존.</w:t>
      </w:r>
    </w:p>
    <w:p>
      <w:pPr>
        <w:pStyle w:val="Heading1"/>
      </w:pPr>
      <w:r>
        <w:rPr>
          <w:b/>
          <w:bCs/>
        </w:rPr>
        <w:t xml:space="preserve">8. 부가 조항 / Miscellaneous</w:t>
      </w:r>
    </w:p>
    <w:p>
      <w:pPr>
        <w:pStyle w:val="ListParagraph"/>
        <w:numPr>
          <w:ilvl w:val="0"/>
          <w:numId w:val="3"/>
        </w:numPr>
      </w:pPr>
      <w:r>
        <w:t xml:space="preserve">준거법(Governing law) — 본인 거주·근무 주(州)인가?</w:t>
      </w:r>
    </w:p>
    <w:p>
      <w:pPr>
        <w:pStyle w:val="ListParagraph"/>
        <w:numPr>
          <w:ilvl w:val="0"/>
          <w:numId w:val="3"/>
        </w:numPr>
      </w:pPr>
      <w:r>
        <w:t xml:space="preserve">관할(Forum) — 회사 본사 소재지로 일방 지정되어 본인 비용 증가하지 않는가?</w:t>
      </w:r>
    </w:p>
    <w:p>
      <w:pPr>
        <w:pStyle w:val="ListParagraph"/>
        <w:numPr>
          <w:ilvl w:val="0"/>
          <w:numId w:val="3"/>
        </w:numPr>
      </w:pPr>
      <w:r>
        <w:t xml:space="preserve">중재(Arbitration) 조항 — Federal Arbitration Act 적용 여부, EFAA 2022(성희롱·성폭력은 중재 강제 불가).</w:t>
      </w:r>
    </w:p>
    <w:p>
      <w:pPr>
        <w:pStyle w:val="ListParagraph"/>
        <w:numPr>
          <w:ilvl w:val="0"/>
          <w:numId w:val="3"/>
        </w:numPr>
      </w:pPr>
      <w:r>
        <w:t xml:space="preserve">Severability(분할적용) — 일부 조항 무효 시 나머지 유효.</w:t>
      </w:r>
    </w:p>
    <w:p>
      <w:pPr>
        <w:pStyle w:val="ListParagraph"/>
        <w:numPr>
          <w:ilvl w:val="0"/>
          <w:numId w:val="3"/>
        </w:numPr>
      </w:pPr>
      <w:r>
        <w:t xml:space="preserve">Counterparts·전자서명 인정.</w:t>
      </w:r>
    </w:p>
    <w:p>
      <w:pPr>
        <w:pStyle w:val="ListParagraph"/>
        <w:numPr>
          <w:ilvl w:val="0"/>
          <w:numId w:val="3"/>
        </w:numPr>
      </w:pPr>
      <w:r>
        <w:t xml:space="preserve">최종 통합조항(Entire Agreement)으로 구두 약속이 사라지지 않는지 확인.</w:t>
      </w:r>
    </w:p>
    <w:p>
      <w:pPr>
        <w:pStyle w:val="Heading1"/>
      </w:pPr>
      <w:r>
        <w:rPr>
          <w:b/>
          <w:bCs/>
        </w:rPr>
        <w:t xml:space="preserve">9. 검토 절차 / Review process</w:t>
      </w:r>
    </w:p>
    <w:p>
      <w:pPr>
        <w:pStyle w:val="ListParagraph"/>
        <w:numPr>
          <w:ilvl w:val="0"/>
          <w:numId w:val="3"/>
        </w:numPr>
      </w:pPr>
      <w:r>
        <w:t xml:space="preserve">최소 24시간 ‘쿨링타임’ 후 서명.</w:t>
      </w:r>
    </w:p>
    <w:p>
      <w:pPr>
        <w:pStyle w:val="ListParagraph"/>
        <w:numPr>
          <w:ilvl w:val="0"/>
          <w:numId w:val="3"/>
        </w:numPr>
      </w:pPr>
      <w:r>
        <w:t xml:space="preserve">ADEA 포기 시 21일 + 7일 철회기간 명시 — 미준수 시 ADEA 부분 무효.</w:t>
      </w:r>
    </w:p>
    <w:p>
      <w:pPr>
        <w:pStyle w:val="ListParagraph"/>
        <w:numPr>
          <w:ilvl w:val="0"/>
          <w:numId w:val="3"/>
        </w:numPr>
      </w:pPr>
      <w:r>
        <w:t xml:space="preserve">배우자·신뢰할 수 있는 동료·변호사 1인 이상에게 사본 검토 요청.</w:t>
      </w:r>
    </w:p>
    <w:p>
      <w:pPr>
        <w:pStyle w:val="ListParagraph"/>
        <w:numPr>
          <w:ilvl w:val="0"/>
          <w:numId w:val="3"/>
        </w:numPr>
      </w:pPr>
      <w:r>
        <w:t xml:space="preserve">불명확한 영어 단어는 한국어 번역본 함께 보관.</w:t>
      </w:r>
    </w:p>
    <w:p>
      <w:pPr>
        <w:pStyle w:val="ListParagraph"/>
        <w:numPr>
          <w:ilvl w:val="0"/>
          <w:numId w:val="3"/>
        </w:numPr>
      </w:pPr>
      <w:r>
        <w:t xml:space="preserve">협상 카운터오퍼(counter-offer) 작성 — 무엇을 추가로 받고 무엇을 양보할지 미리 정리.</w:t>
      </w:r>
    </w:p>
    <w:p>
      <w:pPr>
        <w:pStyle w:val="Heading1"/>
      </w:pPr>
      <w:r>
        <w:rPr>
          <w:b/>
          <w:bCs/>
        </w:rPr>
        <w:t xml:space="preserve">10. 협상 가능 항목 메모 / Negotiation worksheet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2300"/>
        <w:gridCol w:w="2280"/>
      </w:tblGrid>
      <w:tr>
        <w:trPr>
          <w:tblHeader/>
        </w:trPr>
        <w:tc>
          <w:tcPr>
            <w:tcW w:type="dxa" w:w="30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협상 항목 / Issue</w:t>
            </w:r>
          </w:p>
        </w:tc>
        <w:tc>
          <w:tcPr>
            <w:tcW w:type="dxa" w:w="25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현재 회사 제안 / Their offer</w:t>
            </w:r>
          </w:p>
        </w:tc>
        <w:tc>
          <w:tcPr>
            <w:tcW w:type="dxa" w:w="23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내 목표 / My target</w:t>
            </w:r>
          </w:p>
        </w:tc>
        <w:tc>
          <w:tcPr>
            <w:tcW w:type="dxa" w:w="22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최저 수용선 / Walk-away</w:t>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총 합의금 (W-2)</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비임금 보상 (1099)</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검토·철회 기간</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NDA·비방 (양방향?)</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No-rehire 범위</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Reference 정책</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비경쟁·비유인 완화</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변호사 비용 부담</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기타 / Other</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bl>
    <w:p>
      <w:pPr>
        <w:pStyle w:val="Heading1"/>
      </w:pPr>
      <w:r>
        <w:rPr>
          <w:b/>
          <w:bCs/>
        </w:rPr>
        <w:t xml:space="preserve">11. 서명 전 최종 점검 / Final pre-signature check</w:t>
      </w:r>
    </w:p>
    <w:p>
      <w:pPr>
        <w:pStyle w:val="ListParagraph"/>
        <w:numPr>
          <w:ilvl w:val="0"/>
          <w:numId w:val="3"/>
        </w:numPr>
      </w:pPr>
      <w:r>
        <w:t xml:space="preserve">위 1~10번 모든 ☐가 답변되었다.</w:t>
      </w:r>
    </w:p>
    <w:p>
      <w:pPr>
        <w:pStyle w:val="ListParagraph"/>
        <w:numPr>
          <w:ilvl w:val="0"/>
          <w:numId w:val="3"/>
        </w:numPr>
      </w:pPr>
      <w:r>
        <w:t xml:space="preserve">의문 조항을 변호사·노동권 단체에 검토 받았다.</w:t>
      </w:r>
    </w:p>
    <w:p>
      <w:pPr>
        <w:pStyle w:val="ListParagraph"/>
        <w:numPr>
          <w:ilvl w:val="0"/>
          <w:numId w:val="3"/>
        </w:numPr>
      </w:pPr>
      <w:r>
        <w:t xml:space="preserve">합의서 사본 + 협상 이메일·메모 전부를 본인 개인 클라우드에 저장했다.</w:t>
      </w:r>
    </w:p>
    <w:p>
      <w:pPr>
        <w:pStyle w:val="ListParagraph"/>
        <w:numPr>
          <w:ilvl w:val="0"/>
          <w:numId w:val="3"/>
        </w:numPr>
      </w:pPr>
      <w:r>
        <w:t xml:space="preserve">OWBPA 적용 시 21일/7일 기간 카운트가 정확히 기록되었다.</w:t>
      </w:r>
    </w:p>
    <w:p>
      <w:pPr>
        <w:pStyle w:val="ListParagraph"/>
        <w:numPr>
          <w:ilvl w:val="0"/>
          <w:numId w:val="3"/>
        </w:numPr>
      </w:pPr>
      <w:r>
        <w:t xml:space="preserve">회사 측 서명자(이름·직책)가 권한 있는 사람인가 확인했다.</w:t>
      </w:r>
    </w:p>
    <w:p>
      <w:pPr>
        <w:pStyle w:val="ListParagraph"/>
        <w:numPr>
          <w:ilvl w:val="0"/>
          <w:numId w:val="3"/>
        </w:numPr>
      </w:pPr>
      <w:r>
        <w:t xml:space="preserve">결제 방법·일자·계좌가 별지(Exhibit)에 명시되어 있다.</w:t>
      </w:r>
    </w:p>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주의 / Cautions</w:t>
            </w:r>
          </w:p>
          <w:p>
            <w:pPr>
              <w:pStyle w:val="ListParagraph"/>
              <w:numPr>
                <w:ilvl w:val="0"/>
                <w:numId w:val="2"/>
              </w:numPr>
            </w:pPr>
            <w:r>
              <w:t xml:space="preserve">‘회사가 빨리 서명하라’는 압박은 의도적인 검토 차단 신호일 수 있음. 서둘러 서명할수록 본인이 손해.</w:t>
            </w:r>
          </w:p>
          <w:p>
            <w:pPr>
              <w:pStyle w:val="ListParagraph"/>
              <w:numPr>
                <w:ilvl w:val="0"/>
                <w:numId w:val="2"/>
              </w:numPr>
            </w:pPr>
            <w:r>
              <w:t xml:space="preserve">FLSA 임금 청구의 사인 합의는 ‘USDOL 또는 법원 승인’ 없이는 무효 가능 (Lynn’s Food Stores, 11th Cir. 1982).</w:t>
            </w:r>
          </w:p>
          <w:p>
            <w:pPr>
              <w:pStyle w:val="ListParagraph"/>
              <w:numPr>
                <w:ilvl w:val="0"/>
                <w:numId w:val="2"/>
              </w:numPr>
            </w:pPr>
            <w:r>
              <w:t xml:space="preserve">불법 조항(불법 무효 NDA, ADEA 21/7 미준수, EEOC 권리포기)이 들어있어도 자동으로 합의서 전체가 무효되는 것은 아님 — Severability 조항으로 ‘무효 부분만 잘라내고’ 나머지는 유효될 수 있음. 따라서 ‘무효 조항이니 서명해도 되겠지’는 위험한 발상.</w:t>
            </w:r>
          </w:p>
          <w:p>
            <w:pPr>
              <w:pStyle w:val="ListParagraph"/>
              <w:numPr>
                <w:ilvl w:val="0"/>
                <w:numId w:val="2"/>
              </w:numPr>
            </w:pPr>
            <w:r>
              <w:t xml:space="preserve">의심되면 서명하지 말 것. 일단 서명·환불 기간 지나면 되돌리기 어렵습니다.</w:t>
            </w:r>
          </w:p>
        </w:tc>
      </w:tr>
    </w:tbl>
    <w:p>
      <w:r>
        <w:t xml:space="preserve"/>
      </w:r>
    </w:p>
    <w:p>
      <w:pPr>
        <w:pStyle w:val="Heading1"/>
      </w:pPr>
      <w:r>
        <w:rPr>
          <w:b/>
          <w:bCs/>
        </w:rPr>
        <w:t xml:space="preserve">검토자 서명 / Reviewer’s signature</w:t>
      </w:r>
    </w:p>
    <w:p>
      <w:r>
        <w:t xml:space="preserve"/>
      </w:r>
    </w:p>
    <w:p>
      <w:r>
        <w:rPr>
          <w:b/>
          <w:bCs/>
        </w:rPr>
        <w:t xml:space="preserve">검토자 / Reviewer: </w:t>
      </w:r>
      <w:r>
        <w:t xml:space="preserve">________________________________________</w:t>
      </w:r>
    </w:p>
    <w:p>
      <w:r>
        <w:t xml:space="preserve"/>
      </w:r>
    </w:p>
    <w:p>
      <w:r>
        <w:rPr>
          <w:b/>
          <w:bCs/>
        </w:rPr>
        <w:t xml:space="preserve">관계 / Relationship (변호사·자조모임 등): </w:t>
      </w:r>
      <w:r>
        <w:t xml:space="preserve">________________________________________</w:t>
      </w:r>
    </w:p>
    <w:p>
      <w:r>
        <w:t xml:space="preserve"/>
      </w:r>
    </w:p>
    <w:p>
      <w:r>
        <w:rPr>
          <w:b/>
          <w:bCs/>
        </w:rPr>
        <w:t xml:space="preserve">검토일 / Date: </w:t>
      </w:r>
      <w:r>
        <w:t xml:space="preserve">________________________________________</w:t>
      </w:r>
    </w:p>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Settlement Review Checklist</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Review Checklist</dc:title>
  <dc:creator>Haven Rights</dc:creator>
  <dc:description>Haven Rights resource document</dc:description>
  <cp:lastModifiedBy>Un-named</cp:lastModifiedBy>
  <cp:revision>1</cp:revision>
  <dcterms:created xsi:type="dcterms:W3CDTF">2026-05-09T12:21:37.461Z</dcterms:created>
  <dcterms:modified xsi:type="dcterms:W3CDTF">2026-05-09T12:21:37.470Z</dcterms:modified>
</cp:coreProperties>
</file>

<file path=docProps/custom.xml><?xml version="1.0" encoding="utf-8"?>
<Properties xmlns="http://schemas.openxmlformats.org/officeDocument/2006/custom-properties" xmlns:vt="http://schemas.openxmlformats.org/officeDocument/2006/docPropsVTypes"/>
</file>