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4단계 · 보복행위 기록일지</w:t>
      </w:r>
    </w:p>
    <w:p>
      <w:pPr>
        <w:pStyle w:val="Subtitle"/>
      </w:pPr>
      <w:r>
        <w:rPr>
          <w:i/>
          <w:iCs/>
        </w:rPr>
        <w:t xml:space="preserve">Retaliation Log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왜 일지가 중요한가요? / Why a contemporaneous log matters</w:t>
            </w:r>
          </w:p>
          <w:p>
            <w:pPr>
              <w:pStyle w:val="ListParagraph"/>
              <w:numPr>
                <w:ilvl w:val="0"/>
                <w:numId w:val="2"/>
              </w:numPr>
            </w:pPr>
            <w:r>
              <w:t xml:space="preserve">‘보복(retaliation)’은 보호받는 활동(임금 항의·신고·증언) 직후 회사가 해고·시간 삭감·근무지 변경·평가 악화·H-1B 후원 철회 등 ‘불이익 조치(adverse action)’를 한 경우 성립합니다.</w:t>
            </w:r>
          </w:p>
          <w:p>
            <w:pPr>
              <w:pStyle w:val="ListParagraph"/>
              <w:numPr>
                <w:ilvl w:val="0"/>
                <w:numId w:val="2"/>
              </w:numPr>
            </w:pPr>
            <w:r>
              <w:t xml:space="preserve">재판·행정조사에서 가장 강력한 증거는 ‘사건 직후 본인이 작성한 시간이 박힌(time-stamped) 메모’입니다. 며칠·몇 주 후 작성한 메모는 신빙성이 떨어집니다.</w:t>
            </w:r>
          </w:p>
          <w:p>
            <w:pPr>
              <w:pStyle w:val="ListParagraph"/>
              <w:numPr>
                <w:ilvl w:val="0"/>
                <w:numId w:val="2"/>
              </w:numPr>
            </w:pPr>
            <w:r>
              <w:t xml:space="preserve">매 사건을 24시간 이내에 본 양식에 기록하고, 가능한 한 본인 개인 이메일로 본인에게 발송(self-email)하여 timestamp를 확보하십시오.</w:t>
            </w:r>
          </w:p>
          <w:p>
            <w:pPr>
              <w:pStyle w:val="ListParagraph"/>
              <w:numPr>
                <w:ilvl w:val="0"/>
                <w:numId w:val="2"/>
              </w:numPr>
            </w:pPr>
            <w:r>
              <w:t xml:space="preserve">주요 근거 법률: FLSA § 15(a)(3); Title VII § 704(a) (42 U.S.C. § 2000e-3); ADA § 503; OSHA § 11(c); INA § 212(n)(2)(C)(iv)(H-1B); NLRA § 8(a)(4); Cal. Lab. Code §§ 98.6, 1102.5; NYLL § 215; Tex. Lab. Code § 61.082.</w:t>
            </w:r>
          </w:p>
        </w:tc>
      </w:tr>
    </w:tbl>
    <w:p>
      <w:r>
        <w:t xml:space="preserve"/>
      </w:r>
    </w:p>
    <w:p>
      <w:pPr>
        <w:pStyle w:val="Heading1"/>
      </w:pPr>
      <w:r>
        <w:rPr>
          <w:b/>
          <w:bCs/>
        </w:rPr>
        <w:t xml:space="preserve">기본 정보 / Profile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성명 / Name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 / Employer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직책 / Title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입사일 / Start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주(州) / State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비자 종류(해당 시) / Visa</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일지 작성 시작일 / Log start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pPr>
        <w:pStyle w:val="Heading1"/>
      </w:pPr>
      <w:r>
        <w:rPr>
          <w:b/>
          <w:bCs/>
        </w:rPr>
        <w:t xml:space="preserve">내가 한 ‘보호받는 활동’ 요약 / Summary of protected activities</w:t>
      </w:r>
    </w:p>
    <w:p>
      <w:r>
        <w:t xml:space="preserve">아래 표에 본인이 행한 ‘보호받는 활동’을 시간순으로 적습니다. 이후 일지의 모든 ‘5번 칸’이 이 표를 참조합니다.</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1500"/>
        <w:gridCol w:w="4500"/>
        <w:gridCol w:w="1700"/>
        <w:gridCol w:w="1780"/>
      </w:tblGrid>
      <w:tr>
        <w:trPr>
          <w:tblHeader/>
        </w:trPr>
        <w:tc>
          <w:tcPr>
            <w:tcW w:type="dxa" w:w="6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w:t>
            </w:r>
          </w:p>
        </w:tc>
        <w:tc>
          <w:tcPr>
            <w:tcW w:type="dxa" w:w="15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날짜 / Date</w:t>
            </w:r>
          </w:p>
        </w:tc>
        <w:tc>
          <w:tcPr>
            <w:tcW w:type="dxa" w:w="45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활동 내용 / Activity</w:t>
            </w:r>
          </w:p>
        </w:tc>
        <w:tc>
          <w:tcPr>
            <w:tcW w:type="dxa" w:w="17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방법 / Channel</w:t>
            </w:r>
          </w:p>
        </w:tc>
        <w:tc>
          <w:tcPr>
            <w:tcW w:type="dxa" w:w="17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수신처 / Sent to</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w:t>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예: 미지급 임금에 대해 매니저에게 항의</w:t>
            </w:r>
          </w:p>
        </w:tc>
        <w:tc>
          <w:tcPr>
            <w:tcW w:type="dxa" w:w="1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구두 / 이메일 / 문자</w:t>
            </w:r>
          </w:p>
        </w:tc>
        <w:tc>
          <w:tcPr>
            <w:tcW w:type="dxa" w:w="1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2</w:t>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예: HR에 임금 차이 항의 이메일</w:t>
            </w:r>
          </w:p>
        </w:tc>
        <w:tc>
          <w:tcPr>
            <w:tcW w:type="dxa" w:w="1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이메일</w:t>
            </w:r>
          </w:p>
        </w:tc>
        <w:tc>
          <w:tcPr>
            <w:tcW w:type="dxa" w:w="1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3</w:t>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예: USDOL WHD에 전화 신고</w:t>
            </w:r>
          </w:p>
        </w:tc>
        <w:tc>
          <w:tcPr>
            <w:tcW w:type="dxa" w:w="1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전화</w:t>
            </w:r>
          </w:p>
        </w:tc>
        <w:tc>
          <w:tcPr>
            <w:tcW w:type="dxa" w:w="1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1-866-487-9243</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4</w:t>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5</w:t>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6</w:t>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4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bl>
    <w:p>
      <w:pPr>
        <w:pStyle w:val="Heading1"/>
      </w:pPr>
      <w:r>
        <w:rPr>
          <w:b/>
          <w:bCs/>
        </w:rPr>
        <w:t xml:space="preserve">보복 의심 사건 일지 / Retaliation log entries</w:t>
      </w:r>
    </w:p>
    <w:p>
      <w:r>
        <w:t xml:space="preserve">사건이 발생할 때마다 새 ‘Entry’를 작성하십시오. 인쇄해서 손글씨로 쓰거나, 원본 디지털 파일을 본인 개인 이메일로 즉시 발송해 timestamp를 확보합니다.</w:t>
      </w:r>
    </w:p>
    <w:p>
      <w:pPr>
        <w:pStyle w:val="Heading3"/>
      </w:pPr>
      <w:r>
        <w:rPr>
          <w:b/>
          <w:bCs/>
        </w:rPr>
        <w:t xml:space="preserve">Entry #1</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#2</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#3</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#4</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#5</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#6</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#7</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#8</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#9</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3"/>
      </w:pPr>
      <w:r>
        <w:rPr>
          <w:b/>
          <w:bCs/>
        </w:rPr>
        <w:t xml:space="preserve">Entry #10</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 사건 일시 / Date &amp; time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2. 발생 장소 / Location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3. 누가 한 행동 / Who did it (이름·직책)</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4. 무엇을 했는가 / What happened (구체 사실)</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5. 본인이 직전에 한 보호받는 활동 / Protected activity (예: 임금항의·WHD 신고·EEOC·OSHA·H-1B 위반 신고)</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6. 두 사건 사이의 시간차 / Time between activity &amp; adverse action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7. 증인 / Witnesses (이름·연락처)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8. 발언·문서 인용 / Direct quote or document</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9. 본인 반응·대응 / My response</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10. 보존한 증거 / Evidence preserved (파일명·보관 위치)</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11. 신고 여부 / Reported to (HR · WHD · DOL · 변호사)</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12. 후속 결과·메모 / Follow-up notes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p>
      <w:pPr>
        <w:pStyle w:val="Heading1"/>
      </w:pPr>
      <w:r>
        <w:rPr>
          <w:b/>
          <w:bCs/>
        </w:rPr>
        <w:t xml:space="preserve">패턴 분석 메모 / Pattern analysis</w:t>
      </w:r>
    </w:p>
    <w:p>
      <w:r>
        <w:t xml:space="preserve">법원·조사관은 다음 ‘패턴’이 입증되면 ‘인과관계(causal connection)’를 인정합니다.</w:t>
      </w:r>
    </w:p>
    <w:p>
      <w:pPr>
        <w:pStyle w:val="ListParagraph"/>
        <w:numPr>
          <w:ilvl w:val="0"/>
          <w:numId w:val="2"/>
        </w:numPr>
      </w:pPr>
      <w:r>
        <w:t xml:space="preserve">시간적 근접성(temporal proximity) — 보호받는 활동 직후(수일~수주) 불이익 조치.</w:t>
      </w:r>
    </w:p>
    <w:p>
      <w:pPr>
        <w:pStyle w:val="ListParagraph"/>
        <w:numPr>
          <w:ilvl w:val="0"/>
          <w:numId w:val="2"/>
        </w:numPr>
      </w:pPr>
      <w:r>
        <w:t xml:space="preserve">일관된 평가가 갑자기 악화.</w:t>
      </w:r>
    </w:p>
    <w:p>
      <w:pPr>
        <w:pStyle w:val="ListParagraph"/>
        <w:numPr>
          <w:ilvl w:val="0"/>
          <w:numId w:val="2"/>
        </w:numPr>
      </w:pPr>
      <w:r>
        <w:t xml:space="preserve">동료 중 같은 항의·신고 후 동일 불이익 받은 사례.</w:t>
      </w:r>
    </w:p>
    <w:p>
      <w:pPr>
        <w:pStyle w:val="ListParagraph"/>
        <w:numPr>
          <w:ilvl w:val="0"/>
          <w:numId w:val="2"/>
        </w:numPr>
      </w:pPr>
      <w:r>
        <w:t xml:space="preserve">‘조용히 있어라/신고 취소하라’는 말.</w:t>
      </w:r>
    </w:p>
    <w:p>
      <w:pPr>
        <w:pStyle w:val="ListParagraph"/>
        <w:numPr>
          <w:ilvl w:val="0"/>
          <w:numId w:val="2"/>
        </w:numPr>
      </w:pPr>
      <w:r>
        <w:t xml:space="preserve">회사 정책 위반 없는데 처벌.</w:t>
      </w:r>
    </w:p>
    <w:p>
      <w:pPr>
        <w:pStyle w:val="ListParagraph"/>
        <w:numPr>
          <w:ilvl w:val="0"/>
          <w:numId w:val="2"/>
        </w:numPr>
      </w:pPr>
      <w:r>
        <w:t xml:space="preserve">동일 직무 다른 직원과 차별 처우.</w:t>
      </w:r>
    </w:p>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36"/>
        <w:gridCol w:w="5544"/>
      </w:tblGrid>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내 사건의 시간차 (활동일 → 불이익일) / Days between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다른 직원의 동일 패턴 사례 / Similar comparator cases</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회사가 제시한 사유 / Employer’s stated reason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사유의 모순 / Inconsistencies in employer’s reason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4536"/>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내 결론 / My conclusion</w:t>
            </w:r>
          </w:p>
        </w:tc>
        <w:tc>
          <w:tcPr>
            <w:tcW w:type="dxa" w:w="5544"/>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pPr>
        <w:pStyle w:val="Heading1"/>
      </w:pPr>
      <w:r>
        <w:rPr>
          <w:b/>
          <w:bCs/>
        </w:rPr>
        <w:t xml:space="preserve">법적 청구 가능성 체크 / Where I can file a retaliation claim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3700"/>
        <w:gridCol w:w="2780"/>
      </w:tblGrid>
      <w:tr>
        <w:trPr>
          <w:tblHeader/>
        </w:trPr>
        <w:tc>
          <w:tcPr>
            <w:tcW w:type="dxa" w:w="36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기관·법</w:t>
            </w:r>
          </w:p>
        </w:tc>
        <w:tc>
          <w:tcPr>
            <w:tcW w:type="dxa" w:w="37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보호 대상 행위</w:t>
            </w:r>
          </w:p>
        </w:tc>
        <w:tc>
          <w:tcPr>
            <w:tcW w:type="dxa" w:w="27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신고 시한 / Deadline</w:t>
            </w:r>
          </w:p>
        </w:tc>
      </w:tr>
      <w:tr>
        <w:trPr>
          <w:tblHeader w:val="false"/>
        </w:trPr>
        <w:tc>
          <w:tcPr>
            <w:tcW w:type="dxa" w:w="3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USDOL WHD (FLSA § 15(a)(3))</w:t>
            </w:r>
          </w:p>
        </w:tc>
        <w:tc>
          <w:tcPr>
            <w:tcW w:type="dxa" w:w="3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임금·연장근로 항의·신고·증언</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일반 2년 (고의 3년)</w:t>
            </w:r>
          </w:p>
        </w:tc>
      </w:tr>
      <w:tr>
        <w:trPr>
          <w:tblHeader w:val="false"/>
        </w:trPr>
        <w:tc>
          <w:tcPr>
            <w:tcW w:type="dxa" w:w="3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USDOL WHD (H-1B INA § 212(n)(2)(C)(iv))</w:t>
            </w:r>
          </w:p>
        </w:tc>
        <w:tc>
          <w:tcPr>
            <w:tcW w:type="dxa" w:w="3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LCA·임금 위반 신고</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위반 발견 12개월</w:t>
            </w:r>
          </w:p>
        </w:tc>
      </w:tr>
      <w:tr>
        <w:trPr>
          <w:tblHeader w:val="false"/>
        </w:trPr>
        <w:tc>
          <w:tcPr>
            <w:tcW w:type="dxa" w:w="3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EEOC (Title VII §704; ADA §503)</w:t>
            </w:r>
          </w:p>
        </w:tc>
        <w:tc>
          <w:tcPr>
            <w:tcW w:type="dxa" w:w="3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차별 항의·EEOC 신고</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180일 또는 deferral 주에서 300일</w:t>
            </w:r>
          </w:p>
        </w:tc>
      </w:tr>
      <w:tr>
        <w:trPr>
          <w:tblHeader w:val="false"/>
        </w:trPr>
        <w:tc>
          <w:tcPr>
            <w:tcW w:type="dxa" w:w="3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OSHA (29 U.S.C. § 660(c))</w:t>
            </w:r>
          </w:p>
        </w:tc>
        <w:tc>
          <w:tcPr>
            <w:tcW w:type="dxa" w:w="3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안전 위반 신고·증언</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30일</w:t>
            </w:r>
          </w:p>
        </w:tc>
      </w:tr>
      <w:tr>
        <w:trPr>
          <w:tblHeader w:val="false"/>
        </w:trPr>
        <w:tc>
          <w:tcPr>
            <w:tcW w:type="dxa" w:w="3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NLRB (NLRA § 8(a)(4))</w:t>
            </w:r>
          </w:p>
        </w:tc>
        <w:tc>
          <w:tcPr>
            <w:tcW w:type="dxa" w:w="3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공동 노동활동·노조 활동</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6개월</w:t>
            </w:r>
          </w:p>
        </w:tc>
      </w:tr>
      <w:tr>
        <w:trPr>
          <w:tblHeader w:val="false"/>
        </w:trPr>
        <w:tc>
          <w:tcPr>
            <w:tcW w:type="dxa" w:w="3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주(州) 노동부 — CA Lab. § 98.6/1102.5</w:t>
            </w:r>
          </w:p>
        </w:tc>
        <w:tc>
          <w:tcPr>
            <w:tcW w:type="dxa" w:w="3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임금·whistleblower 활동</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6개월(98.6) / 1년(1102.5; PAGA 1년)</w:t>
            </w:r>
          </w:p>
        </w:tc>
      </w:tr>
      <w:tr>
        <w:trPr>
          <w:tblHeader w:val="false"/>
        </w:trPr>
        <w:tc>
          <w:tcPr>
            <w:tcW w:type="dxa" w:w="3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주(州) 노동부 — NYLL § 215</w:t>
            </w:r>
          </w:p>
        </w:tc>
        <w:tc>
          <w:tcPr>
            <w:tcW w:type="dxa" w:w="3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 항의·LS 신고</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2년 (집행)</w:t>
            </w:r>
          </w:p>
        </w:tc>
      </w:tr>
      <w:tr>
        <w:trPr>
          <w:tblHeader w:val="false"/>
        </w:trPr>
        <w:tc>
          <w:tcPr>
            <w:tcW w:type="dxa" w:w="3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주(州) 노동부 — Tex. Lab. § 61.082</w:t>
            </w:r>
          </w:p>
        </w:tc>
        <w:tc>
          <w:tcPr>
            <w:tcW w:type="dxa" w:w="3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 청구 신고</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180일 (TWC)</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보복 발생 시 즉시 할 일 / Immediate steps</w:t>
            </w:r>
          </w:p>
          <w:p>
            <w:pPr>
              <w:pStyle w:val="ListParagraph"/>
              <w:numPr>
                <w:ilvl w:val="0"/>
                <w:numId w:val="3"/>
              </w:numPr>
            </w:pPr>
            <w:r>
              <w:t xml:space="preserve">Entry 작성 — 24시간 이내.</w:t>
            </w:r>
          </w:p>
          <w:p>
            <w:pPr>
              <w:pStyle w:val="ListParagraph"/>
              <w:numPr>
                <w:ilvl w:val="0"/>
                <w:numId w:val="3"/>
              </w:numPr>
            </w:pPr>
            <w:r>
              <w:t xml:space="preserve">관련 이메일·문자·캘린더 캡처를 본인 개인 이메일로 전송.</w:t>
            </w:r>
          </w:p>
          <w:p>
            <w:pPr>
              <w:pStyle w:val="ListParagraph"/>
              <w:numPr>
                <w:ilvl w:val="0"/>
                <w:numId w:val="3"/>
              </w:numPr>
            </w:pPr>
            <w:r>
              <w:t xml:space="preserve">증인 이름·연락처 즉시 메모.</w:t>
            </w:r>
          </w:p>
          <w:p>
            <w:pPr>
              <w:pStyle w:val="ListParagraph"/>
              <w:numPr>
                <w:ilvl w:val="0"/>
                <w:numId w:val="3"/>
              </w:numPr>
            </w:pPr>
            <w:r>
              <w:t xml:space="preserve">HR에 서면(이메일)으로 사실관계와 항의 의사 명확히 통지.</w:t>
            </w:r>
          </w:p>
          <w:p>
            <w:pPr>
              <w:pStyle w:val="ListParagraph"/>
              <w:numPr>
                <w:ilvl w:val="0"/>
                <w:numId w:val="3"/>
              </w:numPr>
            </w:pPr>
            <w:r>
              <w:t xml:space="preserve">기관 신고 검토 (위 표의 deadline 주의).</w:t>
            </w:r>
          </w:p>
          <w:p>
            <w:pPr>
              <w:pStyle w:val="ListParagraph"/>
              <w:numPr>
                <w:ilvl w:val="0"/>
                <w:numId w:val="3"/>
              </w:numPr>
            </w:pPr>
            <w:r>
              <w:t xml:space="preserve">필요 시 변호사·노동권 단체(예: Legal Aid, Asian Americans Advancing Justice, NELA)에 연락.</w:t>
            </w:r>
          </w:p>
          <w:p>
            <w:pPr>
              <w:pStyle w:val="ListParagraph"/>
              <w:numPr>
                <w:ilvl w:val="0"/>
                <w:numId w:val="3"/>
              </w:numPr>
            </w:pPr>
            <w:r>
              <w:t xml:space="preserve">모든 의료·심리 영향(불면·불안)도 별도 의료기록으로 보존 — 손해배상 산정에 반영.</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Retaliation Log</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Retaliation Log</dc:title>
  <dc:creator>Haven Rights</dc:creator>
  <dc:description>Haven Rights resource document</dc:description>
  <cp:lastModifiedBy>Un-named</cp:lastModifiedBy>
  <cp:revision>1</cp:revision>
  <dcterms:created xsi:type="dcterms:W3CDTF">2026-05-09T01:56:28.305Z</dcterms:created>
  <dcterms:modified xsi:type="dcterms:W3CDTF">2026-05-09T01:56:28.305Z</dcterms:modified>
</cp:coreProperties>
</file>

<file path=docProps/custom.xml><?xml version="1.0" encoding="utf-8"?>
<Properties xmlns="http://schemas.openxmlformats.org/officeDocument/2006/custom-properties" xmlns:vt="http://schemas.openxmlformats.org/officeDocument/2006/docPropsVTypes"/>
</file>